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9F1E9" w14:textId="5815C0F6" w:rsidR="005F2969" w:rsidRDefault="005F2969" w:rsidP="005F2969">
      <w:bookmarkStart w:id="0" w:name="_GoBack"/>
      <w:bookmarkEnd w:id="0"/>
      <w:r>
        <w:rPr>
          <w:sz w:val="40"/>
        </w:rPr>
        <w:t>Improving the Quality of Sex Education in California High Schools Through Student Evaluations:  The S</w:t>
      </w:r>
      <w:r w:rsidR="007F31CC" w:rsidRPr="003C5800">
        <w:rPr>
          <w:sz w:val="40"/>
        </w:rPr>
        <w:t>tudent-Assessed Sex Education Standards (SASS)</w:t>
      </w:r>
      <w:r>
        <w:rPr>
          <w:sz w:val="40"/>
        </w:rPr>
        <w:t xml:space="preserve"> Project</w:t>
      </w:r>
      <w:r w:rsidR="007F31CC" w:rsidRPr="003C5800">
        <w:rPr>
          <w:sz w:val="40"/>
        </w:rPr>
        <w:t xml:space="preserve"> </w:t>
      </w:r>
    </w:p>
    <w:p w14:paraId="04906B0C" w14:textId="77777777" w:rsidR="005F2969" w:rsidRDefault="005F2969"/>
    <w:p w14:paraId="6FC23D47" w14:textId="5A49558A" w:rsidR="0074500C" w:rsidRPr="0074500C" w:rsidRDefault="00EF6F21">
      <w:r>
        <w:t xml:space="preserve">On January 1, 2016, the </w:t>
      </w:r>
      <w:r w:rsidRPr="0037694D">
        <w:rPr>
          <w:b/>
        </w:rPr>
        <w:t>California Healthy Youth Act (CHYA)</w:t>
      </w:r>
      <w:r w:rsidR="0074500C">
        <w:rPr>
          <w:b/>
        </w:rPr>
        <w:t xml:space="preserve"> </w:t>
      </w:r>
      <w:r w:rsidR="00756413" w:rsidRPr="00756413">
        <w:t xml:space="preserve">went into effect, </w:t>
      </w:r>
      <w:r w:rsidR="0074500C">
        <w:t xml:space="preserve">mandating </w:t>
      </w:r>
      <w:r w:rsidR="0067280A">
        <w:t xml:space="preserve">public </w:t>
      </w:r>
      <w:r w:rsidR="0074500C">
        <w:t xml:space="preserve">middle and high schools to integrate comprehensive sexual health education into their HIV/AIDS prevention education programs. The most progressive sex education legislation in the state’s history, CHYA </w:t>
      </w:r>
      <w:r w:rsidR="005C20BD">
        <w:t xml:space="preserve">required </w:t>
      </w:r>
      <w:r w:rsidR="0074500C">
        <w:t xml:space="preserve">that sex education should be medically accurate, age-appropriate, unbiased, and inclusive of students from diverse backgrounds. A notable limitation of the act, however, was that </w:t>
      </w:r>
      <w:r w:rsidR="005A695A">
        <w:t xml:space="preserve">very few </w:t>
      </w:r>
      <w:r w:rsidR="0074500C">
        <w:t>funds were allocated toward its surveillance or enforcement</w:t>
      </w:r>
      <w:r w:rsidR="005C20BD">
        <w:t xml:space="preserve">.  </w:t>
      </w:r>
    </w:p>
    <w:p w14:paraId="32C6B588" w14:textId="532EAC18" w:rsidR="00DF7000" w:rsidRDefault="0074500C">
      <w:r>
        <w:t xml:space="preserve">The </w:t>
      </w:r>
      <w:r w:rsidRPr="005F2969">
        <w:rPr>
          <w:b/>
        </w:rPr>
        <w:t>Student Assessed Sex Education Standards (SASS) Project</w:t>
      </w:r>
      <w:r>
        <w:t xml:space="preserve"> was developed and implemented by the Bixby Center on Population and Reproductive Health at the University of California, Los Angeles (UCLA)</w:t>
      </w:r>
      <w:r w:rsidR="005F2969">
        <w:t>, with the assistance of the Genders and Sexualities Alliance Network (GSAN).  Its purpose was to provide a tool for h</w:t>
      </w:r>
      <w:r w:rsidR="00415AD5">
        <w:t>igh school</w:t>
      </w:r>
      <w:r>
        <w:t xml:space="preserve"> students </w:t>
      </w:r>
      <w:r w:rsidR="005F2969">
        <w:t>to evaluate the quality of the sex education in their schools</w:t>
      </w:r>
      <w:r>
        <w:t>. Taking into consideration time constraints and student privacy,</w:t>
      </w:r>
      <w:r w:rsidR="00415AD5">
        <w:t xml:space="preserve"> the SASS team developed a one-time voluntary and anonymous </w:t>
      </w:r>
      <w:r w:rsidR="005F2969">
        <w:t xml:space="preserve">online </w:t>
      </w:r>
      <w:r w:rsidR="00415AD5">
        <w:t xml:space="preserve">survey that students could complete </w:t>
      </w:r>
      <w:r w:rsidR="005F2969">
        <w:t>in 10-15 minutes at the conclusion of their sex education</w:t>
      </w:r>
      <w:r w:rsidR="00415AD5">
        <w:t>.</w:t>
      </w:r>
      <w:r w:rsidR="00DF7000">
        <w:t xml:space="preserve"> The survey was specifically designed to </w:t>
      </w:r>
      <w:r w:rsidR="00E87BE3">
        <w:t>collect feedback on</w:t>
      </w:r>
      <w:r w:rsidR="00DF7000">
        <w:t xml:space="preserve"> how well </w:t>
      </w:r>
      <w:r w:rsidR="005F2969">
        <w:t>the sex education the students received</w:t>
      </w:r>
      <w:r w:rsidR="00DF7000">
        <w:t xml:space="preserve"> met the standards set by CHYA</w:t>
      </w:r>
      <w:r w:rsidR="005F2969">
        <w:t>,</w:t>
      </w:r>
      <w:r w:rsidR="00DF7000">
        <w:t xml:space="preserve"> and how conducive their classroom environments were to learning sensitive sex</w:t>
      </w:r>
      <w:r w:rsidR="005F2969">
        <w:t>ual health</w:t>
      </w:r>
      <w:r w:rsidR="00DF7000">
        <w:t xml:space="preserve"> topics.</w:t>
      </w:r>
      <w:r w:rsidR="005C20BD">
        <w:t xml:space="preserve">  </w:t>
      </w:r>
    </w:p>
    <w:p w14:paraId="1227873D" w14:textId="71B80B85" w:rsidR="001C0179" w:rsidRDefault="00D6315E" w:rsidP="00D6315E">
      <w:r>
        <w:t xml:space="preserve">In total, </w:t>
      </w:r>
      <w:r w:rsidR="005F2969">
        <w:t>13</w:t>
      </w:r>
      <w:r>
        <w:t xml:space="preserve"> LAUSD high schools</w:t>
      </w:r>
      <w:r w:rsidR="005F2969">
        <w:t xml:space="preserve"> participated in the SASS pr</w:t>
      </w:r>
      <w:r>
        <w:t>oject</w:t>
      </w:r>
      <w:r w:rsidR="005F2969">
        <w:t xml:space="preserve"> in May and June 2019</w:t>
      </w:r>
      <w:r>
        <w:t xml:space="preserve">. </w:t>
      </w:r>
      <w:r w:rsidR="005F2969">
        <w:t xml:space="preserve">The team collected </w:t>
      </w:r>
      <w:r w:rsidR="0089271E">
        <w:t xml:space="preserve">surveys </w:t>
      </w:r>
      <w:r w:rsidR="005F2969">
        <w:t>from 684 students</w:t>
      </w:r>
      <w:r w:rsidR="0024424B">
        <w:t xml:space="preserve">, </w:t>
      </w:r>
      <w:r w:rsidR="0089271E">
        <w:t>of which three-quarters were eligible for data analysis.</w:t>
      </w:r>
      <w:r w:rsidR="0024424B">
        <w:t xml:space="preserve"> Students who participated in the survey were primarily Hispanic (64%) and identified as heterosexual (78%). The majority (8</w:t>
      </w:r>
      <w:r w:rsidR="005F2969">
        <w:t>1</w:t>
      </w:r>
      <w:r w:rsidR="0024424B">
        <w:t xml:space="preserve">%) were completing their freshmen year at the time the survey was administered. </w:t>
      </w:r>
    </w:p>
    <w:p w14:paraId="0ADD6CFB" w14:textId="7B566DD0" w:rsidR="00484464" w:rsidRDefault="00DE2810" w:rsidP="00484464">
      <w:r>
        <w:t>The SASS survey revealed significant</w:t>
      </w:r>
      <w:r w:rsidR="001C0179">
        <w:t xml:space="preserve"> variation in students’ </w:t>
      </w:r>
      <w:r w:rsidR="00484464">
        <w:t xml:space="preserve">ratings </w:t>
      </w:r>
      <w:r w:rsidR="001C0179">
        <w:t xml:space="preserve">of how well certain </w:t>
      </w:r>
      <w:r>
        <w:t>CHYA</w:t>
      </w:r>
      <w:r w:rsidR="001C0179">
        <w:t xml:space="preserve"> standards were taught and how conducive their classroom environments were to learning. </w:t>
      </w:r>
      <w:r w:rsidR="00484464">
        <w:t>The</w:t>
      </w:r>
      <w:r w:rsidR="001C0179">
        <w:t xml:space="preserve"> standard that the highest percentage of students indicated as being taught </w:t>
      </w:r>
      <w:r>
        <w:t>“</w:t>
      </w:r>
      <w:r w:rsidR="001C0179">
        <w:t>very well</w:t>
      </w:r>
      <w:r>
        <w:t>”</w:t>
      </w:r>
      <w:r w:rsidR="00484464">
        <w:t xml:space="preserve"> </w:t>
      </w:r>
      <w:r>
        <w:t>concerned</w:t>
      </w:r>
      <w:r w:rsidR="00484464">
        <w:t xml:space="preserve"> the transmission of HIV/AIDS</w:t>
      </w:r>
      <w:r w:rsidR="005F2969">
        <w:t xml:space="preserve"> (92%)</w:t>
      </w:r>
      <w:r w:rsidR="00484464">
        <w:t>. By contrast, the standard</w:t>
      </w:r>
      <w:r w:rsidR="00620747">
        <w:t xml:space="preserve"> that</w:t>
      </w:r>
      <w:r w:rsidR="00484464">
        <w:t xml:space="preserve"> the lowest percentage of students indicated as being taught very well related to long-acting and reversible contraceptives</w:t>
      </w:r>
      <w:r w:rsidR="005F2969">
        <w:t xml:space="preserve"> (67%)</w:t>
      </w:r>
      <w:r w:rsidR="00484464">
        <w:t>. In general, topics related to HIV/AIDS seemed to be better taught than those related to sexuality and contraception. Classroom environm</w:t>
      </w:r>
      <w:r w:rsidR="008551C5">
        <w:t xml:space="preserve">ent ratings suggested that </w:t>
      </w:r>
      <w:r w:rsidR="00484464">
        <w:t>1 in 4 students found sex education to be rushed, not engaging, or not</w:t>
      </w:r>
      <w:r w:rsidR="00620747">
        <w:t xml:space="preserve"> adequate in covering</w:t>
      </w:r>
      <w:r w:rsidR="00484464">
        <w:t xml:space="preserve"> both social and biological issues.</w:t>
      </w:r>
    </w:p>
    <w:p w14:paraId="7783F36D" w14:textId="00DCCF9F" w:rsidR="00B11570" w:rsidRPr="00B11570" w:rsidRDefault="00B11570" w:rsidP="00B11570">
      <w:r w:rsidRPr="00B11570">
        <w:t>Student ratings varied widely depending on where they attended school</w:t>
      </w:r>
      <w:r w:rsidR="00DE2810">
        <w:t xml:space="preserve"> in LAUSD</w:t>
      </w:r>
      <w:r w:rsidRPr="00B11570">
        <w:t>. The biggest differences in scores between schools were seen for standards related to gender and sexual orientation stereotypes. At the highest performing school, 95% of students indicated content in this area was taught very well compared to 4</w:t>
      </w:r>
      <w:r w:rsidR="005F2969">
        <w:t>4</w:t>
      </w:r>
      <w:r w:rsidRPr="00B11570">
        <w:t xml:space="preserve">% at the lowest performing. In general, the biggest differences between schools were found in thematic areas that were newly introduced as curricular standards under CHYA. </w:t>
      </w:r>
    </w:p>
    <w:p w14:paraId="354047BD" w14:textId="77777777" w:rsidR="00B11570" w:rsidRDefault="00B11570" w:rsidP="00B11570"/>
    <w:p w14:paraId="72106C1F" w14:textId="53DC6ACE" w:rsidR="00B11570" w:rsidRPr="008551C5" w:rsidRDefault="00B11570" w:rsidP="00B11570">
      <w:pPr>
        <w:rPr>
          <w:b/>
        </w:rPr>
      </w:pPr>
      <w:r w:rsidRPr="008551C5">
        <w:rPr>
          <w:b/>
        </w:rPr>
        <w:lastRenderedPageBreak/>
        <w:t>Percent of students who answered “yes, very well” on teaching of 22 CHYA compliance questions</w:t>
      </w:r>
      <w:r w:rsidR="00F130C8" w:rsidRPr="008551C5">
        <w:rPr>
          <w:b/>
        </w:rPr>
        <w:t xml:space="preserve">, of 13 LAUSD </w:t>
      </w:r>
      <w:r w:rsidR="00340E25">
        <w:rPr>
          <w:b/>
        </w:rPr>
        <w:t>h</w:t>
      </w:r>
      <w:r w:rsidR="00F130C8" w:rsidRPr="008551C5">
        <w:rPr>
          <w:b/>
        </w:rPr>
        <w:t xml:space="preserve">igh </w:t>
      </w:r>
      <w:r w:rsidR="00340E25">
        <w:rPr>
          <w:b/>
        </w:rPr>
        <w:t>s</w:t>
      </w:r>
      <w:r w:rsidR="00F130C8" w:rsidRPr="008551C5">
        <w:rPr>
          <w:b/>
        </w:rPr>
        <w:t>chools, May-June 2019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3243"/>
        <w:gridCol w:w="849"/>
        <w:gridCol w:w="763"/>
        <w:gridCol w:w="849"/>
        <w:gridCol w:w="934"/>
        <w:gridCol w:w="849"/>
        <w:gridCol w:w="849"/>
        <w:gridCol w:w="949"/>
      </w:tblGrid>
      <w:tr w:rsidR="00B11570" w:rsidRPr="00B11570" w14:paraId="0FFA70BD" w14:textId="77777777" w:rsidTr="00F130C8">
        <w:trPr>
          <w:cantSplit/>
          <w:trHeight w:val="199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CCEE" w14:textId="77777777" w:rsidR="00B11570" w:rsidRPr="00B11570" w:rsidRDefault="00B11570" w:rsidP="00B11570">
            <w:r w:rsidRPr="00B11570"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E92C769" w14:textId="260E8D05" w:rsidR="00B11570" w:rsidRPr="00987F42" w:rsidRDefault="00F130C8" w:rsidP="00F130C8">
            <w:pPr>
              <w:ind w:left="113" w:right="113"/>
              <w:jc w:val="center"/>
              <w:rPr>
                <w:sz w:val="20"/>
                <w:szCs w:val="20"/>
              </w:rPr>
            </w:pPr>
            <w:r w:rsidRPr="00987F42">
              <w:rPr>
                <w:sz w:val="20"/>
                <w:szCs w:val="20"/>
              </w:rPr>
              <w:t xml:space="preserve">Number of students 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6FF8F835" w14:textId="77777777" w:rsidR="00B11570" w:rsidRPr="00987F42" w:rsidRDefault="00B11570" w:rsidP="00B11570">
            <w:pPr>
              <w:jc w:val="center"/>
              <w:rPr>
                <w:sz w:val="20"/>
                <w:szCs w:val="20"/>
              </w:rPr>
            </w:pPr>
            <w:r w:rsidRPr="00987F42">
              <w:rPr>
                <w:sz w:val="20"/>
                <w:szCs w:val="20"/>
              </w:rPr>
              <w:t>Contraception &amp; consent  (Q1-6)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3D570D21" w14:textId="77777777" w:rsidR="00B11570" w:rsidRPr="00987F42" w:rsidRDefault="00B11570" w:rsidP="00B11570">
            <w:pPr>
              <w:jc w:val="center"/>
              <w:rPr>
                <w:sz w:val="20"/>
                <w:szCs w:val="20"/>
              </w:rPr>
            </w:pPr>
            <w:r w:rsidRPr="00987F42">
              <w:rPr>
                <w:sz w:val="20"/>
                <w:szCs w:val="20"/>
              </w:rPr>
              <w:t>HIV misconceptions  (Q7-10)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4F9F78D7" w14:textId="6B0A36E3" w:rsidR="00B11570" w:rsidRPr="00987F42" w:rsidRDefault="00B11570" w:rsidP="00B11570">
            <w:pPr>
              <w:jc w:val="center"/>
              <w:rPr>
                <w:sz w:val="20"/>
                <w:szCs w:val="20"/>
              </w:rPr>
            </w:pPr>
            <w:r w:rsidRPr="00987F42">
              <w:rPr>
                <w:sz w:val="20"/>
                <w:szCs w:val="20"/>
              </w:rPr>
              <w:t>Gender &amp; sexual orientation stereotypes  (Q11-13)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14:paraId="33EB9F61" w14:textId="77777777" w:rsidR="00B11570" w:rsidRPr="00987F42" w:rsidRDefault="00B11570" w:rsidP="00B11570">
            <w:pPr>
              <w:jc w:val="center"/>
              <w:rPr>
                <w:sz w:val="20"/>
                <w:szCs w:val="20"/>
              </w:rPr>
            </w:pPr>
            <w:r w:rsidRPr="00987F42">
              <w:rPr>
                <w:sz w:val="20"/>
                <w:szCs w:val="20"/>
              </w:rPr>
              <w:t>Sexual health services &amp; rights  (Q14-17)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Rl"/>
            <w:vAlign w:val="center"/>
            <w:hideMark/>
          </w:tcPr>
          <w:p w14:paraId="714E2CD1" w14:textId="77777777" w:rsidR="00B11570" w:rsidRPr="00987F42" w:rsidRDefault="00B11570" w:rsidP="00B11570">
            <w:pPr>
              <w:jc w:val="center"/>
              <w:rPr>
                <w:sz w:val="20"/>
                <w:szCs w:val="20"/>
              </w:rPr>
            </w:pPr>
            <w:r w:rsidRPr="00987F42">
              <w:rPr>
                <w:sz w:val="20"/>
                <w:szCs w:val="20"/>
              </w:rPr>
              <w:t>Harassment, rape &amp; trafficking (Q18-22)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5F1A534C" w14:textId="77777777" w:rsidR="00B11570" w:rsidRPr="00987F42" w:rsidRDefault="00B11570" w:rsidP="00B11570">
            <w:pPr>
              <w:jc w:val="center"/>
              <w:rPr>
                <w:b/>
                <w:bCs/>
                <w:sz w:val="20"/>
                <w:szCs w:val="20"/>
              </w:rPr>
            </w:pPr>
            <w:r w:rsidRPr="00987F42">
              <w:rPr>
                <w:b/>
                <w:bCs/>
                <w:sz w:val="20"/>
                <w:szCs w:val="20"/>
              </w:rPr>
              <w:t>Overall Score  (Q1-22)</w:t>
            </w:r>
          </w:p>
        </w:tc>
      </w:tr>
      <w:tr w:rsidR="00B11570" w:rsidRPr="00B11570" w14:paraId="6205A6CB" w14:textId="77777777" w:rsidTr="00B11570">
        <w:trPr>
          <w:trHeight w:val="26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3CC3E" w14:textId="77777777" w:rsidR="00B11570" w:rsidRPr="00B11570" w:rsidRDefault="00B11570" w:rsidP="00B11570"/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283D" w14:textId="77777777" w:rsidR="00B11570" w:rsidRPr="00B11570" w:rsidRDefault="00B11570" w:rsidP="00B11570">
            <w:pPr>
              <w:rPr>
                <w:bCs/>
              </w:rPr>
            </w:pPr>
            <w:r w:rsidRPr="00B11570">
              <w:rPr>
                <w:bCs/>
              </w:rPr>
              <w:t>N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B1A" w14:textId="77777777" w:rsidR="00B11570" w:rsidRPr="00B11570" w:rsidRDefault="00B11570" w:rsidP="00B11570">
            <w:r w:rsidRPr="00B11570">
              <w:t>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8E1A" w14:textId="77777777" w:rsidR="00B11570" w:rsidRPr="00B11570" w:rsidRDefault="00B11570" w:rsidP="00B11570">
            <w:r w:rsidRPr="00B11570">
              <w:t>%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4420" w14:textId="77777777" w:rsidR="00B11570" w:rsidRPr="00B11570" w:rsidRDefault="00B11570" w:rsidP="00B11570">
            <w:r w:rsidRPr="00B11570"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60CE" w14:textId="77777777" w:rsidR="00B11570" w:rsidRPr="00B11570" w:rsidRDefault="00B11570" w:rsidP="00B11570">
            <w:r w:rsidRPr="00B11570">
              <w:t>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AF3B" w14:textId="77777777" w:rsidR="00B11570" w:rsidRPr="00B11570" w:rsidRDefault="00B11570" w:rsidP="00B11570">
            <w:r w:rsidRPr="00B11570"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2F98" w14:textId="77777777" w:rsidR="00B11570" w:rsidRPr="00B11570" w:rsidRDefault="00B11570" w:rsidP="00B11570">
            <w:pPr>
              <w:rPr>
                <w:b/>
                <w:bCs/>
              </w:rPr>
            </w:pPr>
            <w:r w:rsidRPr="00B11570">
              <w:rPr>
                <w:b/>
                <w:bCs/>
              </w:rPr>
              <w:t>%</w:t>
            </w:r>
          </w:p>
        </w:tc>
      </w:tr>
      <w:tr w:rsidR="00B11570" w:rsidRPr="00B11570" w14:paraId="41BCC7DA" w14:textId="77777777" w:rsidTr="00B11570">
        <w:trPr>
          <w:trHeight w:val="269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AC04" w14:textId="0A378D41" w:rsidR="00B11570" w:rsidRPr="00B11570" w:rsidRDefault="00B11570" w:rsidP="00B11570">
            <w:r>
              <w:t>Top Performing School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C900" w14:textId="77777777" w:rsidR="00B11570" w:rsidRPr="00B11570" w:rsidRDefault="00B11570" w:rsidP="00B11570">
            <w:r w:rsidRPr="00B11570">
              <w:t>63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0402" w14:textId="77777777" w:rsidR="00B11570" w:rsidRPr="00B11570" w:rsidRDefault="00B11570" w:rsidP="00B11570">
            <w:r w:rsidRPr="00B11570">
              <w:t>96.8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6FA2" w14:textId="77777777" w:rsidR="00B11570" w:rsidRPr="00B11570" w:rsidRDefault="00B11570" w:rsidP="00B11570">
            <w:r w:rsidRPr="00B11570">
              <w:t>96.4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873" w14:textId="77777777" w:rsidR="00B11570" w:rsidRPr="00B11570" w:rsidRDefault="00B11570" w:rsidP="00B11570">
            <w:r w:rsidRPr="00B11570">
              <w:t>95.2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F25F" w14:textId="77777777" w:rsidR="00B11570" w:rsidRPr="00B11570" w:rsidRDefault="00B11570" w:rsidP="00B11570">
            <w:r w:rsidRPr="00B11570">
              <w:t>96.4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0440" w14:textId="77777777" w:rsidR="00B11570" w:rsidRPr="00B11570" w:rsidRDefault="00B11570" w:rsidP="00B11570">
            <w:r w:rsidRPr="00B11570">
              <w:t>95.2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7A4" w14:textId="77777777" w:rsidR="00B11570" w:rsidRPr="00B11570" w:rsidRDefault="00B11570" w:rsidP="00B11570">
            <w:pPr>
              <w:rPr>
                <w:b/>
                <w:bCs/>
              </w:rPr>
            </w:pPr>
            <w:r w:rsidRPr="00B11570">
              <w:rPr>
                <w:b/>
                <w:bCs/>
              </w:rPr>
              <w:t>96.0</w:t>
            </w:r>
          </w:p>
        </w:tc>
      </w:tr>
      <w:tr w:rsidR="00B11570" w:rsidRPr="00B11570" w14:paraId="2A7A94EF" w14:textId="77777777" w:rsidTr="00B11570">
        <w:trPr>
          <w:trHeight w:val="269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D7FB" w14:textId="06D539F1" w:rsidR="00B11570" w:rsidRPr="00B11570" w:rsidRDefault="00B11570" w:rsidP="00B11570">
            <w:r>
              <w:t>Lowest Performing School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6D3C" w14:textId="0331FA06" w:rsidR="00B11570" w:rsidRPr="00B11570" w:rsidRDefault="00B11570" w:rsidP="00B11570">
            <w:r w:rsidRPr="00B11570"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615B" w14:textId="612BC2BF" w:rsidR="00B11570" w:rsidRPr="00B11570" w:rsidRDefault="00B11570" w:rsidP="00B11570">
            <w:r w:rsidRPr="00B11570">
              <w:t>65.3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A045" w14:textId="7D29D644" w:rsidR="00B11570" w:rsidRPr="00B11570" w:rsidRDefault="00B11570" w:rsidP="00B11570">
            <w:r w:rsidRPr="00B11570">
              <w:t>70.2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6A75" w14:textId="37EBFC82" w:rsidR="00B11570" w:rsidRPr="00B11570" w:rsidRDefault="00B11570" w:rsidP="00B11570">
            <w:r w:rsidRPr="00B11570">
              <w:t>43.7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9DB" w14:textId="695C285A" w:rsidR="00B11570" w:rsidRPr="00B11570" w:rsidRDefault="00B11570" w:rsidP="00B11570">
            <w:r w:rsidRPr="00B11570">
              <w:t>63.8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67BF" w14:textId="7AF795CC" w:rsidR="00B11570" w:rsidRPr="00B11570" w:rsidRDefault="00B11570" w:rsidP="00B11570">
            <w:r w:rsidRPr="00B11570">
              <w:t>57.5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546" w14:textId="6E887DA4" w:rsidR="00B11570" w:rsidRPr="00B11570" w:rsidRDefault="00B11570" w:rsidP="00B11570">
            <w:pPr>
              <w:rPr>
                <w:b/>
                <w:bCs/>
              </w:rPr>
            </w:pPr>
            <w:r w:rsidRPr="00B11570">
              <w:rPr>
                <w:b/>
                <w:bCs/>
              </w:rPr>
              <w:t>60.1</w:t>
            </w:r>
          </w:p>
        </w:tc>
      </w:tr>
      <w:tr w:rsidR="00B11570" w:rsidRPr="00B11570" w14:paraId="0D13159F" w14:textId="77777777" w:rsidTr="00B11570">
        <w:trPr>
          <w:trHeight w:val="269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5AE2" w14:textId="35E3D076" w:rsidR="00B11570" w:rsidRPr="00B11570" w:rsidRDefault="00B11570" w:rsidP="00B11570">
            <w:r>
              <w:t>Average Score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6392" w14:textId="6DD9785A" w:rsidR="00B11570" w:rsidRPr="00B11570" w:rsidRDefault="00B11570" w:rsidP="00B11570">
            <w:pPr>
              <w:rPr>
                <w:b/>
                <w:i/>
              </w:rPr>
            </w:pPr>
            <w:r w:rsidRPr="00B11570">
              <w:rPr>
                <w:b/>
                <w:i/>
              </w:rPr>
              <w:t>515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BF38" w14:textId="391437A1" w:rsidR="00B11570" w:rsidRPr="00B11570" w:rsidRDefault="00B11570" w:rsidP="00B11570">
            <w:r w:rsidRPr="00B11570">
              <w:rPr>
                <w:b/>
                <w:bCs/>
                <w:i/>
              </w:rPr>
              <w:t>82.1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7F78" w14:textId="3C1B5DCF" w:rsidR="00B11570" w:rsidRPr="00B11570" w:rsidRDefault="00B11570" w:rsidP="00B11570">
            <w:r w:rsidRPr="00B11570">
              <w:rPr>
                <w:b/>
                <w:bCs/>
                <w:i/>
              </w:rPr>
              <w:t>85.1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D3F2" w14:textId="42913816" w:rsidR="00B11570" w:rsidRPr="00B11570" w:rsidRDefault="00B11570" w:rsidP="00B11570">
            <w:r w:rsidRPr="00B11570">
              <w:rPr>
                <w:b/>
                <w:bCs/>
                <w:i/>
              </w:rPr>
              <w:t>77.1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AAFA" w14:textId="1555CF01" w:rsidR="00B11570" w:rsidRPr="00B11570" w:rsidRDefault="00B11570" w:rsidP="00B11570">
            <w:r w:rsidRPr="00B11570">
              <w:rPr>
                <w:b/>
                <w:bCs/>
                <w:i/>
              </w:rPr>
              <w:t>79.9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1E45" w14:textId="63CFF3CD" w:rsidR="00B11570" w:rsidRPr="00B11570" w:rsidRDefault="00B11570" w:rsidP="00B11570">
            <w:r w:rsidRPr="00B11570">
              <w:rPr>
                <w:b/>
                <w:bCs/>
                <w:i/>
              </w:rPr>
              <w:t>79.6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B05" w14:textId="2398FFFC" w:rsidR="00B11570" w:rsidRPr="00B11570" w:rsidRDefault="00B11570" w:rsidP="00B11570">
            <w:pPr>
              <w:rPr>
                <w:b/>
                <w:bCs/>
              </w:rPr>
            </w:pPr>
            <w:r w:rsidRPr="00B11570">
              <w:rPr>
                <w:b/>
                <w:bCs/>
                <w:i/>
              </w:rPr>
              <w:t>80.7</w:t>
            </w:r>
          </w:p>
        </w:tc>
      </w:tr>
    </w:tbl>
    <w:p w14:paraId="1744B091" w14:textId="77777777" w:rsidR="00F130C8" w:rsidRDefault="00F130C8" w:rsidP="00FD78D8"/>
    <w:p w14:paraId="10A019BB" w14:textId="026EC95D" w:rsidR="00B33D14" w:rsidRDefault="00FD78D8" w:rsidP="00FD78D8">
      <w:r>
        <w:t>Overall, the SASS Project de</w:t>
      </w:r>
      <w:r w:rsidR="00DE2810">
        <w:t xml:space="preserve">monstrated </w:t>
      </w:r>
      <w:r>
        <w:t>that students can effectively evaluate the quality of their sex education using the assessmen</w:t>
      </w:r>
      <w:r w:rsidR="00DE2810">
        <w:t>t survey developed by the team.  No bias was found by the g</w:t>
      </w:r>
      <w:r w:rsidR="008D5128">
        <w:t xml:space="preserve">ender of the teacher, or the gender, ethnicity or age of the student. </w:t>
      </w:r>
      <w:r w:rsidR="00DE2810">
        <w:t xml:space="preserve"> </w:t>
      </w:r>
      <w:r>
        <w:t xml:space="preserve">Furthermore, teachers are able to administer the survey with basic instructions in </w:t>
      </w:r>
      <w:r w:rsidR="008D5128">
        <w:t>less than</w:t>
      </w:r>
      <w:r>
        <w:t xml:space="preserve"> 15 minutes, making it feasible to deliver during class time.</w:t>
      </w:r>
      <w:r w:rsidR="00340E25">
        <w:t xml:space="preserve">  </w:t>
      </w:r>
    </w:p>
    <w:p w14:paraId="2133F7FC" w14:textId="52EB7B5E" w:rsidR="00340E25" w:rsidRDefault="00340E25" w:rsidP="00FD78D8">
      <w:r>
        <w:t xml:space="preserve">The results of the survey were compiled and sent back to each school.  Follow-up surveys with teachers indicated that the results had </w:t>
      </w:r>
      <w:r w:rsidR="008D5128">
        <w:t>enabled</w:t>
      </w:r>
      <w:r>
        <w:t xml:space="preserve"> teachers to identify areas to improve.  The surveys could be done on an annual basis </w:t>
      </w:r>
      <w:r w:rsidR="008D5128">
        <w:t>so that</w:t>
      </w:r>
      <w:r>
        <w:t xml:space="preserve"> administrators </w:t>
      </w:r>
      <w:r w:rsidR="008D5128">
        <w:t>can</w:t>
      </w:r>
      <w:r>
        <w:t xml:space="preserve"> track compliance with CHYA standards and classroom environment</w:t>
      </w:r>
      <w:r w:rsidR="008D5128">
        <w:t>, and take steps to improve the quality of sex education in their schools</w:t>
      </w:r>
      <w:r>
        <w:t>.</w:t>
      </w:r>
    </w:p>
    <w:p w14:paraId="07F8B19E" w14:textId="0F7AE7AA" w:rsidR="00FD78D8" w:rsidRPr="00B33D14" w:rsidRDefault="00FD78D8" w:rsidP="00FD78D8">
      <w:pPr>
        <w:rPr>
          <w:b/>
          <w:u w:val="single"/>
        </w:rPr>
      </w:pPr>
      <w:r w:rsidRPr="00B33D14">
        <w:rPr>
          <w:b/>
          <w:u w:val="single"/>
        </w:rPr>
        <w:t>Based on the project’s findings, the SASS team</w:t>
      </w:r>
      <w:r w:rsidR="00340E25">
        <w:rPr>
          <w:b/>
          <w:u w:val="single"/>
        </w:rPr>
        <w:t xml:space="preserve"> </w:t>
      </w:r>
      <w:r w:rsidRPr="00B33D14">
        <w:rPr>
          <w:b/>
          <w:u w:val="single"/>
        </w:rPr>
        <w:t>recommend</w:t>
      </w:r>
      <w:r w:rsidR="00340E25">
        <w:rPr>
          <w:b/>
          <w:u w:val="single"/>
        </w:rPr>
        <w:t>ed</w:t>
      </w:r>
      <w:r w:rsidRPr="00B33D14">
        <w:rPr>
          <w:b/>
          <w:u w:val="single"/>
        </w:rPr>
        <w:t>:</w:t>
      </w:r>
    </w:p>
    <w:p w14:paraId="47C8EEC8" w14:textId="0954AB0D" w:rsidR="00836759" w:rsidRPr="00836759" w:rsidRDefault="00836759" w:rsidP="00836759">
      <w:pPr>
        <w:pStyle w:val="ListParagraph"/>
        <w:ind w:left="360"/>
        <w:rPr>
          <w:b/>
        </w:rPr>
      </w:pPr>
      <w:r w:rsidRPr="00836759">
        <w:rPr>
          <w:b/>
        </w:rPr>
        <w:t>1.  District</w:t>
      </w:r>
      <w:r w:rsidR="00340E25">
        <w:rPr>
          <w:b/>
        </w:rPr>
        <w:t>s</w:t>
      </w:r>
    </w:p>
    <w:p w14:paraId="1B4A6233" w14:textId="315E47BA" w:rsidR="00836759" w:rsidRPr="00836759" w:rsidRDefault="00836759" w:rsidP="00836759">
      <w:pPr>
        <w:pStyle w:val="ListParagraph"/>
        <w:numPr>
          <w:ilvl w:val="0"/>
          <w:numId w:val="47"/>
        </w:numPr>
      </w:pPr>
      <w:r w:rsidRPr="00836759">
        <w:t xml:space="preserve">Consider incorporating the online survey developed by the SASS project into its evaluation protocol for high schools. </w:t>
      </w:r>
    </w:p>
    <w:p w14:paraId="17258A5F" w14:textId="459C0593" w:rsidR="00836759" w:rsidRPr="00836759" w:rsidRDefault="00836759" w:rsidP="00836759">
      <w:pPr>
        <w:pStyle w:val="ListParagraph"/>
        <w:numPr>
          <w:ilvl w:val="0"/>
          <w:numId w:val="47"/>
        </w:numPr>
      </w:pPr>
      <w:r w:rsidRPr="00836759">
        <w:t xml:space="preserve">Send performance feedback to all schools who administer the SASS survey. </w:t>
      </w:r>
    </w:p>
    <w:p w14:paraId="4A136EAA" w14:textId="0AF38EAA" w:rsidR="00836759" w:rsidRDefault="00836759" w:rsidP="00836759">
      <w:pPr>
        <w:pStyle w:val="ListParagraph"/>
        <w:numPr>
          <w:ilvl w:val="0"/>
          <w:numId w:val="47"/>
        </w:numPr>
      </w:pPr>
      <w:r w:rsidRPr="00836759">
        <w:t xml:space="preserve">Assist schools to improve curricula </w:t>
      </w:r>
      <w:r w:rsidR="008D5128">
        <w:t xml:space="preserve">or teaching </w:t>
      </w:r>
      <w:r w:rsidRPr="00836759">
        <w:t xml:space="preserve">where areas of weakness were discovered. </w:t>
      </w:r>
    </w:p>
    <w:p w14:paraId="3BB9A5AD" w14:textId="77777777" w:rsidR="00836759" w:rsidRDefault="00836759" w:rsidP="00836759">
      <w:pPr>
        <w:pStyle w:val="ListParagraph"/>
      </w:pPr>
    </w:p>
    <w:p w14:paraId="40FB040D" w14:textId="56D07312" w:rsidR="00836759" w:rsidRPr="00836759" w:rsidRDefault="00836759" w:rsidP="00836759">
      <w:pPr>
        <w:pStyle w:val="ListParagraph"/>
        <w:ind w:left="360"/>
      </w:pPr>
      <w:r w:rsidRPr="00836759">
        <w:rPr>
          <w:b/>
        </w:rPr>
        <w:t>2.  School Leadership</w:t>
      </w:r>
    </w:p>
    <w:p w14:paraId="71A16AD7" w14:textId="1E71E286" w:rsidR="00836759" w:rsidRPr="00836759" w:rsidRDefault="00836759" w:rsidP="00836759">
      <w:pPr>
        <w:pStyle w:val="ListParagraph"/>
        <w:numPr>
          <w:ilvl w:val="0"/>
          <w:numId w:val="47"/>
        </w:numPr>
      </w:pPr>
      <w:r w:rsidRPr="00836759">
        <w:t xml:space="preserve">Require all sex education teachers in their high schools administer the SASS survey to their students.   </w:t>
      </w:r>
    </w:p>
    <w:p w14:paraId="78FB0C84" w14:textId="77777777" w:rsidR="00836759" w:rsidRDefault="00836759" w:rsidP="00836759">
      <w:pPr>
        <w:pStyle w:val="ListParagraph"/>
        <w:numPr>
          <w:ilvl w:val="0"/>
          <w:numId w:val="47"/>
        </w:numPr>
      </w:pPr>
      <w:r w:rsidRPr="00836759">
        <w:t xml:space="preserve">Review survey results with teachers to discuss how to improve the classroom environment and ensure compliance with CHYA standards.  </w:t>
      </w:r>
    </w:p>
    <w:p w14:paraId="70DC174E" w14:textId="521C19E4" w:rsidR="00836759" w:rsidRDefault="00836759" w:rsidP="00836759">
      <w:pPr>
        <w:pStyle w:val="ListParagraph"/>
      </w:pPr>
      <w:r w:rsidRPr="00836759">
        <w:t xml:space="preserve"> </w:t>
      </w:r>
    </w:p>
    <w:p w14:paraId="278F9492" w14:textId="5C05B71A" w:rsidR="00836759" w:rsidRPr="00836759" w:rsidRDefault="00836759" w:rsidP="00836759">
      <w:pPr>
        <w:pStyle w:val="ListParagraph"/>
        <w:ind w:left="360"/>
      </w:pPr>
      <w:r w:rsidRPr="00836759">
        <w:rPr>
          <w:b/>
        </w:rPr>
        <w:t>3.  Teacher</w:t>
      </w:r>
      <w:r w:rsidR="00340E25">
        <w:rPr>
          <w:b/>
        </w:rPr>
        <w:t>s</w:t>
      </w:r>
      <w:r w:rsidRPr="00836759">
        <w:rPr>
          <w:b/>
        </w:rPr>
        <w:t xml:space="preserve"> </w:t>
      </w:r>
    </w:p>
    <w:p w14:paraId="4A4379DC" w14:textId="28942448" w:rsidR="00836759" w:rsidRPr="00836759" w:rsidRDefault="00836759" w:rsidP="00836759">
      <w:pPr>
        <w:pStyle w:val="ListParagraph"/>
        <w:numPr>
          <w:ilvl w:val="0"/>
          <w:numId w:val="47"/>
        </w:numPr>
      </w:pPr>
      <w:r w:rsidRPr="00836759">
        <w:t xml:space="preserve">Become familiar with CHYA requirements.  </w:t>
      </w:r>
    </w:p>
    <w:p w14:paraId="19A6B814" w14:textId="230E5C63" w:rsidR="00836759" w:rsidRPr="00836759" w:rsidRDefault="00836759" w:rsidP="00836759">
      <w:pPr>
        <w:pStyle w:val="ListParagraph"/>
        <w:numPr>
          <w:ilvl w:val="0"/>
          <w:numId w:val="47"/>
        </w:numPr>
      </w:pPr>
      <w:r w:rsidRPr="00836759">
        <w:t xml:space="preserve">Administer the SASS survey at the end of each sex education course.  </w:t>
      </w:r>
    </w:p>
    <w:p w14:paraId="2BF091DC" w14:textId="624E484B" w:rsidR="00836759" w:rsidRDefault="00836759" w:rsidP="00836759">
      <w:pPr>
        <w:pStyle w:val="ListParagraph"/>
        <w:numPr>
          <w:ilvl w:val="0"/>
          <w:numId w:val="47"/>
        </w:numPr>
      </w:pPr>
      <w:r w:rsidRPr="00836759">
        <w:lastRenderedPageBreak/>
        <w:t>Meet with school leadership to discuss survey results and plan for any improvements.</w:t>
      </w:r>
    </w:p>
    <w:p w14:paraId="45608B1C" w14:textId="0A52652B" w:rsidR="00340E25" w:rsidRPr="008D5128" w:rsidRDefault="00340E25" w:rsidP="00340E25">
      <w:pPr>
        <w:rPr>
          <w:b/>
        </w:rPr>
      </w:pPr>
      <w:r w:rsidRPr="008D5128">
        <w:rPr>
          <w:b/>
        </w:rPr>
        <w:t>If you would like to discuss introducing SASS into your school district, please contact Dr. Paula Tavrow (ptavrow@ucla.edu), Director of the Bixby Program at UCLA.</w:t>
      </w:r>
    </w:p>
    <w:sectPr w:rsidR="00340E25" w:rsidRPr="008D5128" w:rsidSect="002816E0">
      <w:headerReference w:type="default" r:id="rId11"/>
      <w:footerReference w:type="first" r:id="rId12"/>
      <w:footnotePr>
        <w:numFmt w:val="lowerLetter"/>
      </w:footnotePr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06065F" w16cid:durableId="21A66011"/>
  <w16cid:commentId w16cid:paraId="2FDBE283" w16cid:durableId="21A6607E"/>
  <w16cid:commentId w16cid:paraId="0AE585FA" w16cid:durableId="21A66163"/>
  <w16cid:commentId w16cid:paraId="596765D0" w16cid:durableId="21A661AA"/>
  <w16cid:commentId w16cid:paraId="7658D0D4" w16cid:durableId="21A6622D"/>
  <w16cid:commentId w16cid:paraId="2E66B847" w16cid:durableId="21A6627E"/>
  <w16cid:commentId w16cid:paraId="7ED8104A" w16cid:durableId="21A662B6"/>
  <w16cid:commentId w16cid:paraId="4EC74019" w16cid:durableId="21A662C0"/>
  <w16cid:commentId w16cid:paraId="31114BAF" w16cid:durableId="21A6630E"/>
  <w16cid:commentId w16cid:paraId="4656BB96" w16cid:durableId="21A66369"/>
  <w16cid:commentId w16cid:paraId="43921477" w16cid:durableId="21A6653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1973C" w14:textId="77777777" w:rsidR="004625CC" w:rsidRDefault="004625CC" w:rsidP="00855982">
      <w:pPr>
        <w:spacing w:after="0" w:line="240" w:lineRule="auto"/>
      </w:pPr>
      <w:r>
        <w:separator/>
      </w:r>
    </w:p>
  </w:endnote>
  <w:endnote w:type="continuationSeparator" w:id="0">
    <w:p w14:paraId="429F56AB" w14:textId="77777777" w:rsidR="004625CC" w:rsidRDefault="004625CC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0426" w14:textId="08B96FA4" w:rsidR="005029F3" w:rsidRDefault="005029F3">
    <w:pPr>
      <w:pStyle w:val="Footer"/>
      <w:jc w:val="right"/>
    </w:pPr>
  </w:p>
  <w:p w14:paraId="4C0405D2" w14:textId="77777777" w:rsidR="005C20BD" w:rsidRDefault="005C2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2144" w14:textId="77777777" w:rsidR="004625CC" w:rsidRDefault="004625CC" w:rsidP="00855982">
      <w:pPr>
        <w:spacing w:after="0" w:line="240" w:lineRule="auto"/>
      </w:pPr>
      <w:r>
        <w:separator/>
      </w:r>
    </w:p>
  </w:footnote>
  <w:footnote w:type="continuationSeparator" w:id="0">
    <w:p w14:paraId="1248311D" w14:textId="77777777" w:rsidR="004625CC" w:rsidRDefault="004625CC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BBD1" w14:textId="50BC6526" w:rsidR="002816E0" w:rsidRDefault="002816E0">
    <w:pPr>
      <w:pStyle w:val="Header"/>
      <w:jc w:val="right"/>
    </w:pPr>
  </w:p>
  <w:p w14:paraId="39FC1954" w14:textId="77777777" w:rsidR="002816E0" w:rsidRDefault="00281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5AD9"/>
    <w:multiLevelType w:val="hybridMultilevel"/>
    <w:tmpl w:val="E3D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5C02AD1"/>
    <w:multiLevelType w:val="hybridMultilevel"/>
    <w:tmpl w:val="B9FEF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875675"/>
    <w:multiLevelType w:val="hybridMultilevel"/>
    <w:tmpl w:val="38EAF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602CAE"/>
    <w:multiLevelType w:val="hybridMultilevel"/>
    <w:tmpl w:val="9FF2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9F6A90"/>
    <w:multiLevelType w:val="hybridMultilevel"/>
    <w:tmpl w:val="E614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C6110D"/>
    <w:multiLevelType w:val="hybridMultilevel"/>
    <w:tmpl w:val="66287D74"/>
    <w:lvl w:ilvl="0" w:tplc="192C0D9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33F5B"/>
    <w:multiLevelType w:val="hybridMultilevel"/>
    <w:tmpl w:val="6A5C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43EF60AE"/>
    <w:multiLevelType w:val="hybridMultilevel"/>
    <w:tmpl w:val="6244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3D5D02"/>
    <w:multiLevelType w:val="hybridMultilevel"/>
    <w:tmpl w:val="35869D4E"/>
    <w:lvl w:ilvl="0" w:tplc="E57AF4D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91F01"/>
    <w:multiLevelType w:val="hybridMultilevel"/>
    <w:tmpl w:val="3DE011BC"/>
    <w:lvl w:ilvl="0" w:tplc="0409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8" w15:restartNumberingAfterBreak="0">
    <w:nsid w:val="618A2D62"/>
    <w:multiLevelType w:val="hybridMultilevel"/>
    <w:tmpl w:val="A2B43EB6"/>
    <w:lvl w:ilvl="0" w:tplc="EDDCB97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A5227"/>
    <w:multiLevelType w:val="hybridMultilevel"/>
    <w:tmpl w:val="BE40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3C4DDE"/>
    <w:multiLevelType w:val="hybridMultilevel"/>
    <w:tmpl w:val="A8A2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14901"/>
    <w:multiLevelType w:val="hybridMultilevel"/>
    <w:tmpl w:val="84485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D6201"/>
    <w:multiLevelType w:val="hybridMultilevel"/>
    <w:tmpl w:val="D5829916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79E2AE8"/>
    <w:multiLevelType w:val="hybridMultilevel"/>
    <w:tmpl w:val="F328FABC"/>
    <w:lvl w:ilvl="0" w:tplc="2B803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2745D"/>
    <w:multiLevelType w:val="hybridMultilevel"/>
    <w:tmpl w:val="0DE675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A365C"/>
    <w:multiLevelType w:val="hybridMultilevel"/>
    <w:tmpl w:val="5E7AC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25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23"/>
  </w:num>
  <w:num w:numId="30">
    <w:abstractNumId w:val="10"/>
  </w:num>
  <w:num w:numId="31">
    <w:abstractNumId w:val="28"/>
  </w:num>
  <w:num w:numId="32">
    <w:abstractNumId w:val="27"/>
  </w:num>
  <w:num w:numId="33">
    <w:abstractNumId w:val="19"/>
  </w:num>
  <w:num w:numId="34">
    <w:abstractNumId w:val="33"/>
  </w:num>
  <w:num w:numId="35">
    <w:abstractNumId w:val="18"/>
  </w:num>
  <w:num w:numId="36">
    <w:abstractNumId w:val="35"/>
  </w:num>
  <w:num w:numId="37">
    <w:abstractNumId w:val="24"/>
  </w:num>
  <w:num w:numId="38">
    <w:abstractNumId w:val="22"/>
  </w:num>
  <w:num w:numId="39">
    <w:abstractNumId w:val="26"/>
  </w:num>
  <w:num w:numId="40">
    <w:abstractNumId w:val="21"/>
  </w:num>
  <w:num w:numId="41">
    <w:abstractNumId w:val="35"/>
  </w:num>
  <w:num w:numId="42">
    <w:abstractNumId w:val="29"/>
  </w:num>
  <w:num w:numId="43">
    <w:abstractNumId w:val="34"/>
  </w:num>
  <w:num w:numId="44">
    <w:abstractNumId w:val="30"/>
  </w:num>
  <w:num w:numId="45">
    <w:abstractNumId w:val="17"/>
  </w:num>
  <w:num w:numId="46">
    <w:abstractNumId w:val="31"/>
  </w:num>
  <w:num w:numId="47">
    <w:abstractNumId w:val="32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4D"/>
    <w:rsid w:val="000129C2"/>
    <w:rsid w:val="00012EE7"/>
    <w:rsid w:val="0002062B"/>
    <w:rsid w:val="0002084A"/>
    <w:rsid w:val="00020C21"/>
    <w:rsid w:val="00021D7C"/>
    <w:rsid w:val="00025A3E"/>
    <w:rsid w:val="00025DE0"/>
    <w:rsid w:val="00025F8D"/>
    <w:rsid w:val="000261E7"/>
    <w:rsid w:val="000301FC"/>
    <w:rsid w:val="000318F4"/>
    <w:rsid w:val="00035574"/>
    <w:rsid w:val="000401B2"/>
    <w:rsid w:val="00040458"/>
    <w:rsid w:val="00041B50"/>
    <w:rsid w:val="00041DBB"/>
    <w:rsid w:val="00043240"/>
    <w:rsid w:val="000479EF"/>
    <w:rsid w:val="000506F5"/>
    <w:rsid w:val="000512C5"/>
    <w:rsid w:val="0005213E"/>
    <w:rsid w:val="00052F72"/>
    <w:rsid w:val="000531A3"/>
    <w:rsid w:val="00054E28"/>
    <w:rsid w:val="00055F36"/>
    <w:rsid w:val="0005634A"/>
    <w:rsid w:val="00061B53"/>
    <w:rsid w:val="000652AE"/>
    <w:rsid w:val="00070280"/>
    <w:rsid w:val="00072EB8"/>
    <w:rsid w:val="0007390B"/>
    <w:rsid w:val="00073F6E"/>
    <w:rsid w:val="0007729C"/>
    <w:rsid w:val="00077D02"/>
    <w:rsid w:val="0008246C"/>
    <w:rsid w:val="00084B33"/>
    <w:rsid w:val="00095592"/>
    <w:rsid w:val="000962B1"/>
    <w:rsid w:val="000969F1"/>
    <w:rsid w:val="000A035E"/>
    <w:rsid w:val="000A0868"/>
    <w:rsid w:val="000A44F4"/>
    <w:rsid w:val="000A5B17"/>
    <w:rsid w:val="000A61B7"/>
    <w:rsid w:val="000A63C3"/>
    <w:rsid w:val="000B0DE2"/>
    <w:rsid w:val="000B1067"/>
    <w:rsid w:val="000B1442"/>
    <w:rsid w:val="000B2000"/>
    <w:rsid w:val="000B3C15"/>
    <w:rsid w:val="000B7810"/>
    <w:rsid w:val="000C08E1"/>
    <w:rsid w:val="000C580B"/>
    <w:rsid w:val="000D16D6"/>
    <w:rsid w:val="000D23AF"/>
    <w:rsid w:val="000D5631"/>
    <w:rsid w:val="000D5E88"/>
    <w:rsid w:val="000D6337"/>
    <w:rsid w:val="000E0709"/>
    <w:rsid w:val="000E31A1"/>
    <w:rsid w:val="000E360D"/>
    <w:rsid w:val="000F1C67"/>
    <w:rsid w:val="000F40C4"/>
    <w:rsid w:val="00101025"/>
    <w:rsid w:val="00101552"/>
    <w:rsid w:val="00102080"/>
    <w:rsid w:val="001032E2"/>
    <w:rsid w:val="00103B0D"/>
    <w:rsid w:val="001063D0"/>
    <w:rsid w:val="00107979"/>
    <w:rsid w:val="001115A7"/>
    <w:rsid w:val="0011291A"/>
    <w:rsid w:val="00114674"/>
    <w:rsid w:val="00116764"/>
    <w:rsid w:val="00123DF4"/>
    <w:rsid w:val="001263FC"/>
    <w:rsid w:val="001318C8"/>
    <w:rsid w:val="00135448"/>
    <w:rsid w:val="00136AD6"/>
    <w:rsid w:val="001459AB"/>
    <w:rsid w:val="0015102D"/>
    <w:rsid w:val="00152359"/>
    <w:rsid w:val="0015285E"/>
    <w:rsid w:val="00155F96"/>
    <w:rsid w:val="001566A3"/>
    <w:rsid w:val="00156FB1"/>
    <w:rsid w:val="00163F78"/>
    <w:rsid w:val="001641A2"/>
    <w:rsid w:val="0016435E"/>
    <w:rsid w:val="0016444D"/>
    <w:rsid w:val="00164BD3"/>
    <w:rsid w:val="00170D37"/>
    <w:rsid w:val="00173F13"/>
    <w:rsid w:val="00181DD6"/>
    <w:rsid w:val="00191838"/>
    <w:rsid w:val="00193B1A"/>
    <w:rsid w:val="00193D0B"/>
    <w:rsid w:val="001A4118"/>
    <w:rsid w:val="001A68CF"/>
    <w:rsid w:val="001A7117"/>
    <w:rsid w:val="001A7E58"/>
    <w:rsid w:val="001B2420"/>
    <w:rsid w:val="001B3413"/>
    <w:rsid w:val="001B4394"/>
    <w:rsid w:val="001B5D8B"/>
    <w:rsid w:val="001B616E"/>
    <w:rsid w:val="001B7A95"/>
    <w:rsid w:val="001C0179"/>
    <w:rsid w:val="001C18A3"/>
    <w:rsid w:val="001D4362"/>
    <w:rsid w:val="001D4A39"/>
    <w:rsid w:val="001D5AE3"/>
    <w:rsid w:val="001D69F6"/>
    <w:rsid w:val="001D7EC3"/>
    <w:rsid w:val="001E1E1A"/>
    <w:rsid w:val="001E304B"/>
    <w:rsid w:val="001E32A7"/>
    <w:rsid w:val="001E63BE"/>
    <w:rsid w:val="001F2B58"/>
    <w:rsid w:val="001F38B2"/>
    <w:rsid w:val="001F3DFF"/>
    <w:rsid w:val="00203D49"/>
    <w:rsid w:val="002047D6"/>
    <w:rsid w:val="00206311"/>
    <w:rsid w:val="00207160"/>
    <w:rsid w:val="002109A2"/>
    <w:rsid w:val="00214290"/>
    <w:rsid w:val="00215857"/>
    <w:rsid w:val="00216913"/>
    <w:rsid w:val="002205B4"/>
    <w:rsid w:val="00220EF7"/>
    <w:rsid w:val="002210D3"/>
    <w:rsid w:val="002254A4"/>
    <w:rsid w:val="00225A44"/>
    <w:rsid w:val="002303AB"/>
    <w:rsid w:val="00231A73"/>
    <w:rsid w:val="0023290B"/>
    <w:rsid w:val="0023627E"/>
    <w:rsid w:val="002429BC"/>
    <w:rsid w:val="0024424B"/>
    <w:rsid w:val="002453BA"/>
    <w:rsid w:val="002521BF"/>
    <w:rsid w:val="002546BC"/>
    <w:rsid w:val="002556B6"/>
    <w:rsid w:val="00256536"/>
    <w:rsid w:val="00257139"/>
    <w:rsid w:val="0025738B"/>
    <w:rsid w:val="00264197"/>
    <w:rsid w:val="00274F7F"/>
    <w:rsid w:val="002816E0"/>
    <w:rsid w:val="0029191A"/>
    <w:rsid w:val="002A10C7"/>
    <w:rsid w:val="002A1F28"/>
    <w:rsid w:val="002A3217"/>
    <w:rsid w:val="002A4D89"/>
    <w:rsid w:val="002A6255"/>
    <w:rsid w:val="002B255C"/>
    <w:rsid w:val="002B2F55"/>
    <w:rsid w:val="002B580C"/>
    <w:rsid w:val="002B60D3"/>
    <w:rsid w:val="002B7865"/>
    <w:rsid w:val="002D3D93"/>
    <w:rsid w:val="002D45A6"/>
    <w:rsid w:val="002D7AAE"/>
    <w:rsid w:val="002E0D3F"/>
    <w:rsid w:val="002E5BBD"/>
    <w:rsid w:val="002F04B0"/>
    <w:rsid w:val="002F20B6"/>
    <w:rsid w:val="002F20EB"/>
    <w:rsid w:val="002F3FFC"/>
    <w:rsid w:val="002F7B3B"/>
    <w:rsid w:val="00300165"/>
    <w:rsid w:val="00300280"/>
    <w:rsid w:val="00300605"/>
    <w:rsid w:val="003033E9"/>
    <w:rsid w:val="003033F0"/>
    <w:rsid w:val="00305918"/>
    <w:rsid w:val="00306C11"/>
    <w:rsid w:val="00310092"/>
    <w:rsid w:val="00321E78"/>
    <w:rsid w:val="0032415F"/>
    <w:rsid w:val="0032692C"/>
    <w:rsid w:val="00337636"/>
    <w:rsid w:val="003402D5"/>
    <w:rsid w:val="00340E25"/>
    <w:rsid w:val="00345673"/>
    <w:rsid w:val="00345A8C"/>
    <w:rsid w:val="00346DF9"/>
    <w:rsid w:val="003507F9"/>
    <w:rsid w:val="00356981"/>
    <w:rsid w:val="00361244"/>
    <w:rsid w:val="00361CDD"/>
    <w:rsid w:val="00363F84"/>
    <w:rsid w:val="00370099"/>
    <w:rsid w:val="00373618"/>
    <w:rsid w:val="00375A7D"/>
    <w:rsid w:val="0037694D"/>
    <w:rsid w:val="00377367"/>
    <w:rsid w:val="00395696"/>
    <w:rsid w:val="003956D0"/>
    <w:rsid w:val="00395C79"/>
    <w:rsid w:val="00397170"/>
    <w:rsid w:val="003A0448"/>
    <w:rsid w:val="003A09B7"/>
    <w:rsid w:val="003A1EFC"/>
    <w:rsid w:val="003A2435"/>
    <w:rsid w:val="003A39BD"/>
    <w:rsid w:val="003A6052"/>
    <w:rsid w:val="003A6270"/>
    <w:rsid w:val="003B0CBF"/>
    <w:rsid w:val="003B18F9"/>
    <w:rsid w:val="003B4A54"/>
    <w:rsid w:val="003B5005"/>
    <w:rsid w:val="003C1483"/>
    <w:rsid w:val="003C363F"/>
    <w:rsid w:val="003C5800"/>
    <w:rsid w:val="003C5AD0"/>
    <w:rsid w:val="003D071E"/>
    <w:rsid w:val="003D51E2"/>
    <w:rsid w:val="003D5289"/>
    <w:rsid w:val="003D5B33"/>
    <w:rsid w:val="003D79C4"/>
    <w:rsid w:val="003E72CA"/>
    <w:rsid w:val="003F42BD"/>
    <w:rsid w:val="003F6D9A"/>
    <w:rsid w:val="003F7775"/>
    <w:rsid w:val="00402CCC"/>
    <w:rsid w:val="00412D33"/>
    <w:rsid w:val="004131AC"/>
    <w:rsid w:val="00415AD5"/>
    <w:rsid w:val="004218BD"/>
    <w:rsid w:val="00424DC2"/>
    <w:rsid w:val="00431BBE"/>
    <w:rsid w:val="004335D2"/>
    <w:rsid w:val="00435292"/>
    <w:rsid w:val="004362B1"/>
    <w:rsid w:val="00441FEC"/>
    <w:rsid w:val="00443000"/>
    <w:rsid w:val="00443D24"/>
    <w:rsid w:val="0044457A"/>
    <w:rsid w:val="004460E0"/>
    <w:rsid w:val="00446E34"/>
    <w:rsid w:val="00447284"/>
    <w:rsid w:val="00447ACE"/>
    <w:rsid w:val="0045031F"/>
    <w:rsid w:val="004525C5"/>
    <w:rsid w:val="00453547"/>
    <w:rsid w:val="00453A45"/>
    <w:rsid w:val="0045789A"/>
    <w:rsid w:val="004625CC"/>
    <w:rsid w:val="004641EE"/>
    <w:rsid w:val="004645A0"/>
    <w:rsid w:val="00465859"/>
    <w:rsid w:val="00465B0B"/>
    <w:rsid w:val="00465D6D"/>
    <w:rsid w:val="004661DE"/>
    <w:rsid w:val="0046713F"/>
    <w:rsid w:val="00470A54"/>
    <w:rsid w:val="0047106D"/>
    <w:rsid w:val="004733FE"/>
    <w:rsid w:val="004834F1"/>
    <w:rsid w:val="00484464"/>
    <w:rsid w:val="004844ED"/>
    <w:rsid w:val="004851C5"/>
    <w:rsid w:val="0049016B"/>
    <w:rsid w:val="0049031B"/>
    <w:rsid w:val="004908FD"/>
    <w:rsid w:val="0049248F"/>
    <w:rsid w:val="00496DDD"/>
    <w:rsid w:val="00496DE6"/>
    <w:rsid w:val="004974C8"/>
    <w:rsid w:val="00497F74"/>
    <w:rsid w:val="004A0924"/>
    <w:rsid w:val="004A0E84"/>
    <w:rsid w:val="004A4236"/>
    <w:rsid w:val="004C0392"/>
    <w:rsid w:val="004C2A54"/>
    <w:rsid w:val="004C70E7"/>
    <w:rsid w:val="004D1C56"/>
    <w:rsid w:val="004D20EB"/>
    <w:rsid w:val="004E14BF"/>
    <w:rsid w:val="004E307B"/>
    <w:rsid w:val="004E4231"/>
    <w:rsid w:val="004E47B9"/>
    <w:rsid w:val="004F2F3E"/>
    <w:rsid w:val="0050060B"/>
    <w:rsid w:val="00500F8A"/>
    <w:rsid w:val="005029F3"/>
    <w:rsid w:val="00502CF9"/>
    <w:rsid w:val="005042EE"/>
    <w:rsid w:val="00504E8E"/>
    <w:rsid w:val="005119C3"/>
    <w:rsid w:val="00511CEA"/>
    <w:rsid w:val="00514C6E"/>
    <w:rsid w:val="005151E0"/>
    <w:rsid w:val="005168CC"/>
    <w:rsid w:val="005216ED"/>
    <w:rsid w:val="0052387D"/>
    <w:rsid w:val="005241AA"/>
    <w:rsid w:val="00524F88"/>
    <w:rsid w:val="005269F2"/>
    <w:rsid w:val="005303F4"/>
    <w:rsid w:val="005364B7"/>
    <w:rsid w:val="005430DC"/>
    <w:rsid w:val="00543585"/>
    <w:rsid w:val="005442AC"/>
    <w:rsid w:val="0054624B"/>
    <w:rsid w:val="005505DD"/>
    <w:rsid w:val="00550A8E"/>
    <w:rsid w:val="00551765"/>
    <w:rsid w:val="005529C1"/>
    <w:rsid w:val="00561665"/>
    <w:rsid w:val="005627E0"/>
    <w:rsid w:val="0056293B"/>
    <w:rsid w:val="00563179"/>
    <w:rsid w:val="005638E3"/>
    <w:rsid w:val="00564B45"/>
    <w:rsid w:val="00570CAB"/>
    <w:rsid w:val="00572FA2"/>
    <w:rsid w:val="0057361A"/>
    <w:rsid w:val="0057723A"/>
    <w:rsid w:val="00577BB9"/>
    <w:rsid w:val="00581958"/>
    <w:rsid w:val="00595C04"/>
    <w:rsid w:val="00596F92"/>
    <w:rsid w:val="005A0E4C"/>
    <w:rsid w:val="005A15E9"/>
    <w:rsid w:val="005A33BB"/>
    <w:rsid w:val="005A679C"/>
    <w:rsid w:val="005A685E"/>
    <w:rsid w:val="005A695A"/>
    <w:rsid w:val="005B0BD4"/>
    <w:rsid w:val="005B1338"/>
    <w:rsid w:val="005B1DBF"/>
    <w:rsid w:val="005B4293"/>
    <w:rsid w:val="005B67B9"/>
    <w:rsid w:val="005B6EA1"/>
    <w:rsid w:val="005C1AC0"/>
    <w:rsid w:val="005C20BD"/>
    <w:rsid w:val="005C21E5"/>
    <w:rsid w:val="005C408B"/>
    <w:rsid w:val="005C5F3B"/>
    <w:rsid w:val="005C7616"/>
    <w:rsid w:val="005D2CAA"/>
    <w:rsid w:val="005D6E1C"/>
    <w:rsid w:val="005F09BC"/>
    <w:rsid w:val="005F2969"/>
    <w:rsid w:val="005F4EDF"/>
    <w:rsid w:val="005F722D"/>
    <w:rsid w:val="0060082F"/>
    <w:rsid w:val="00602892"/>
    <w:rsid w:val="00604495"/>
    <w:rsid w:val="006101F4"/>
    <w:rsid w:val="00611ACA"/>
    <w:rsid w:val="00620747"/>
    <w:rsid w:val="00620F79"/>
    <w:rsid w:val="00623E3D"/>
    <w:rsid w:val="0062455A"/>
    <w:rsid w:val="00631068"/>
    <w:rsid w:val="0063466E"/>
    <w:rsid w:val="00635768"/>
    <w:rsid w:val="0064658E"/>
    <w:rsid w:val="00647C7D"/>
    <w:rsid w:val="00650074"/>
    <w:rsid w:val="00651AD5"/>
    <w:rsid w:val="00652B22"/>
    <w:rsid w:val="006722A5"/>
    <w:rsid w:val="006727BB"/>
    <w:rsid w:val="0067280A"/>
    <w:rsid w:val="00674F25"/>
    <w:rsid w:val="00675F0A"/>
    <w:rsid w:val="0067711E"/>
    <w:rsid w:val="0068005B"/>
    <w:rsid w:val="00681F82"/>
    <w:rsid w:val="006820AE"/>
    <w:rsid w:val="0068227D"/>
    <w:rsid w:val="006852F6"/>
    <w:rsid w:val="006868BA"/>
    <w:rsid w:val="006934BA"/>
    <w:rsid w:val="006A0A39"/>
    <w:rsid w:val="006B0284"/>
    <w:rsid w:val="006B45B3"/>
    <w:rsid w:val="006B7B9E"/>
    <w:rsid w:val="006C3B10"/>
    <w:rsid w:val="006C49E0"/>
    <w:rsid w:val="006C4F61"/>
    <w:rsid w:val="006C6017"/>
    <w:rsid w:val="006C7771"/>
    <w:rsid w:val="006D545B"/>
    <w:rsid w:val="006E1280"/>
    <w:rsid w:val="006F299D"/>
    <w:rsid w:val="006F4769"/>
    <w:rsid w:val="006F53A1"/>
    <w:rsid w:val="0070133B"/>
    <w:rsid w:val="00705B01"/>
    <w:rsid w:val="00707986"/>
    <w:rsid w:val="00707DC7"/>
    <w:rsid w:val="007174B1"/>
    <w:rsid w:val="0072249D"/>
    <w:rsid w:val="007227B0"/>
    <w:rsid w:val="00724C30"/>
    <w:rsid w:val="0073305F"/>
    <w:rsid w:val="00742F77"/>
    <w:rsid w:val="0074500C"/>
    <w:rsid w:val="007510E6"/>
    <w:rsid w:val="00751B6A"/>
    <w:rsid w:val="00756413"/>
    <w:rsid w:val="00757479"/>
    <w:rsid w:val="0075788F"/>
    <w:rsid w:val="0076192B"/>
    <w:rsid w:val="00762590"/>
    <w:rsid w:val="007641C1"/>
    <w:rsid w:val="00764E75"/>
    <w:rsid w:val="007656D3"/>
    <w:rsid w:val="00765DFB"/>
    <w:rsid w:val="007662E8"/>
    <w:rsid w:val="007722BB"/>
    <w:rsid w:val="007753D1"/>
    <w:rsid w:val="007833A7"/>
    <w:rsid w:val="00783AD0"/>
    <w:rsid w:val="007843BD"/>
    <w:rsid w:val="00785CB7"/>
    <w:rsid w:val="00786068"/>
    <w:rsid w:val="00791252"/>
    <w:rsid w:val="00793898"/>
    <w:rsid w:val="00795AC6"/>
    <w:rsid w:val="007973A1"/>
    <w:rsid w:val="007A2ECA"/>
    <w:rsid w:val="007A568E"/>
    <w:rsid w:val="007A76D1"/>
    <w:rsid w:val="007B09FD"/>
    <w:rsid w:val="007B1B4B"/>
    <w:rsid w:val="007B1F30"/>
    <w:rsid w:val="007B1F90"/>
    <w:rsid w:val="007B2A03"/>
    <w:rsid w:val="007B33EC"/>
    <w:rsid w:val="007B3C32"/>
    <w:rsid w:val="007B7942"/>
    <w:rsid w:val="007B79EB"/>
    <w:rsid w:val="007C3B44"/>
    <w:rsid w:val="007C5A0A"/>
    <w:rsid w:val="007D2DD8"/>
    <w:rsid w:val="007D4A13"/>
    <w:rsid w:val="007D70E9"/>
    <w:rsid w:val="007D7989"/>
    <w:rsid w:val="007E4253"/>
    <w:rsid w:val="007F2AD6"/>
    <w:rsid w:val="007F31CC"/>
    <w:rsid w:val="007F5CF9"/>
    <w:rsid w:val="0080339F"/>
    <w:rsid w:val="00803AB2"/>
    <w:rsid w:val="00804F46"/>
    <w:rsid w:val="008139E7"/>
    <w:rsid w:val="008145E2"/>
    <w:rsid w:val="0081484F"/>
    <w:rsid w:val="0081498C"/>
    <w:rsid w:val="008152F0"/>
    <w:rsid w:val="008203D4"/>
    <w:rsid w:val="00821341"/>
    <w:rsid w:val="0082460B"/>
    <w:rsid w:val="00825D3A"/>
    <w:rsid w:val="00836759"/>
    <w:rsid w:val="00842367"/>
    <w:rsid w:val="00846ECD"/>
    <w:rsid w:val="00847FB9"/>
    <w:rsid w:val="00851CFB"/>
    <w:rsid w:val="008551C5"/>
    <w:rsid w:val="008551EC"/>
    <w:rsid w:val="0085542B"/>
    <w:rsid w:val="00855982"/>
    <w:rsid w:val="00861185"/>
    <w:rsid w:val="00861BF5"/>
    <w:rsid w:val="00865B88"/>
    <w:rsid w:val="00870BE9"/>
    <w:rsid w:val="00873E70"/>
    <w:rsid w:val="00875CDC"/>
    <w:rsid w:val="00876F88"/>
    <w:rsid w:val="00884B33"/>
    <w:rsid w:val="00886900"/>
    <w:rsid w:val="00890EC6"/>
    <w:rsid w:val="0089120C"/>
    <w:rsid w:val="00891296"/>
    <w:rsid w:val="008919FD"/>
    <w:rsid w:val="0089271E"/>
    <w:rsid w:val="00893145"/>
    <w:rsid w:val="008935B6"/>
    <w:rsid w:val="00894D1D"/>
    <w:rsid w:val="00894E23"/>
    <w:rsid w:val="008A2ABB"/>
    <w:rsid w:val="008A3F4D"/>
    <w:rsid w:val="008A4CE6"/>
    <w:rsid w:val="008B610C"/>
    <w:rsid w:val="008B67ED"/>
    <w:rsid w:val="008C1855"/>
    <w:rsid w:val="008C6B46"/>
    <w:rsid w:val="008C7F61"/>
    <w:rsid w:val="008D4271"/>
    <w:rsid w:val="008D5128"/>
    <w:rsid w:val="008D6BF8"/>
    <w:rsid w:val="008D6F3C"/>
    <w:rsid w:val="008E6728"/>
    <w:rsid w:val="008F157A"/>
    <w:rsid w:val="008F1FB0"/>
    <w:rsid w:val="008F2D5F"/>
    <w:rsid w:val="008F52DE"/>
    <w:rsid w:val="008F5BC1"/>
    <w:rsid w:val="008F5EAA"/>
    <w:rsid w:val="008F71A5"/>
    <w:rsid w:val="0090144C"/>
    <w:rsid w:val="0090387A"/>
    <w:rsid w:val="00914A1F"/>
    <w:rsid w:val="00914D09"/>
    <w:rsid w:val="009152A9"/>
    <w:rsid w:val="00916E05"/>
    <w:rsid w:val="00917854"/>
    <w:rsid w:val="00920D6E"/>
    <w:rsid w:val="009224D7"/>
    <w:rsid w:val="009245D7"/>
    <w:rsid w:val="00926B24"/>
    <w:rsid w:val="00926F03"/>
    <w:rsid w:val="00932B6C"/>
    <w:rsid w:val="00932C75"/>
    <w:rsid w:val="009407E2"/>
    <w:rsid w:val="009521CC"/>
    <w:rsid w:val="00957177"/>
    <w:rsid w:val="00960A48"/>
    <w:rsid w:val="009649BF"/>
    <w:rsid w:val="00966AB3"/>
    <w:rsid w:val="00970224"/>
    <w:rsid w:val="009731B0"/>
    <w:rsid w:val="00973E35"/>
    <w:rsid w:val="00975317"/>
    <w:rsid w:val="009753F9"/>
    <w:rsid w:val="00987F42"/>
    <w:rsid w:val="00992F5E"/>
    <w:rsid w:val="00994E3C"/>
    <w:rsid w:val="009974B2"/>
    <w:rsid w:val="009A1C4F"/>
    <w:rsid w:val="009A23F1"/>
    <w:rsid w:val="009A73CD"/>
    <w:rsid w:val="009B0B7D"/>
    <w:rsid w:val="009B1EA3"/>
    <w:rsid w:val="009C013E"/>
    <w:rsid w:val="009C6D1A"/>
    <w:rsid w:val="009D02BB"/>
    <w:rsid w:val="009D2F2B"/>
    <w:rsid w:val="009D6E5B"/>
    <w:rsid w:val="009E0959"/>
    <w:rsid w:val="009E2CD6"/>
    <w:rsid w:val="009E4A0E"/>
    <w:rsid w:val="009E6C13"/>
    <w:rsid w:val="009E6E6C"/>
    <w:rsid w:val="009F5EEA"/>
    <w:rsid w:val="00A047E6"/>
    <w:rsid w:val="00A052B1"/>
    <w:rsid w:val="00A06D9B"/>
    <w:rsid w:val="00A10484"/>
    <w:rsid w:val="00A2501F"/>
    <w:rsid w:val="00A25FD3"/>
    <w:rsid w:val="00A319B7"/>
    <w:rsid w:val="00A364AF"/>
    <w:rsid w:val="00A37565"/>
    <w:rsid w:val="00A42840"/>
    <w:rsid w:val="00A46619"/>
    <w:rsid w:val="00A477D1"/>
    <w:rsid w:val="00A54BE4"/>
    <w:rsid w:val="00A563D5"/>
    <w:rsid w:val="00A6407F"/>
    <w:rsid w:val="00A71DBE"/>
    <w:rsid w:val="00A73A66"/>
    <w:rsid w:val="00A749B5"/>
    <w:rsid w:val="00A75182"/>
    <w:rsid w:val="00A77D84"/>
    <w:rsid w:val="00A812CC"/>
    <w:rsid w:val="00A817C5"/>
    <w:rsid w:val="00A8374E"/>
    <w:rsid w:val="00A83B4A"/>
    <w:rsid w:val="00A86336"/>
    <w:rsid w:val="00A87C96"/>
    <w:rsid w:val="00A966B9"/>
    <w:rsid w:val="00A970E5"/>
    <w:rsid w:val="00AA2454"/>
    <w:rsid w:val="00AB34EA"/>
    <w:rsid w:val="00AB50D2"/>
    <w:rsid w:val="00AB60E0"/>
    <w:rsid w:val="00AB6BF5"/>
    <w:rsid w:val="00AC1A68"/>
    <w:rsid w:val="00AC2D78"/>
    <w:rsid w:val="00AC4088"/>
    <w:rsid w:val="00AC73EB"/>
    <w:rsid w:val="00AD0885"/>
    <w:rsid w:val="00AD2E85"/>
    <w:rsid w:val="00AD55A2"/>
    <w:rsid w:val="00AD7C7D"/>
    <w:rsid w:val="00AE0FB1"/>
    <w:rsid w:val="00AE18A8"/>
    <w:rsid w:val="00AE19F4"/>
    <w:rsid w:val="00AE3331"/>
    <w:rsid w:val="00AE347E"/>
    <w:rsid w:val="00AE5B2A"/>
    <w:rsid w:val="00AE6578"/>
    <w:rsid w:val="00AE72CF"/>
    <w:rsid w:val="00AF0B6E"/>
    <w:rsid w:val="00AF0D0D"/>
    <w:rsid w:val="00AF344D"/>
    <w:rsid w:val="00AF60F6"/>
    <w:rsid w:val="00AF6391"/>
    <w:rsid w:val="00AF76C7"/>
    <w:rsid w:val="00B020AE"/>
    <w:rsid w:val="00B02B41"/>
    <w:rsid w:val="00B05294"/>
    <w:rsid w:val="00B107F5"/>
    <w:rsid w:val="00B10D5B"/>
    <w:rsid w:val="00B11570"/>
    <w:rsid w:val="00B12C98"/>
    <w:rsid w:val="00B163FD"/>
    <w:rsid w:val="00B178F3"/>
    <w:rsid w:val="00B212F1"/>
    <w:rsid w:val="00B21717"/>
    <w:rsid w:val="00B24B8F"/>
    <w:rsid w:val="00B25AA1"/>
    <w:rsid w:val="00B26F6A"/>
    <w:rsid w:val="00B27623"/>
    <w:rsid w:val="00B27716"/>
    <w:rsid w:val="00B314FC"/>
    <w:rsid w:val="00B33D14"/>
    <w:rsid w:val="00B33EC4"/>
    <w:rsid w:val="00B40ABD"/>
    <w:rsid w:val="00B44293"/>
    <w:rsid w:val="00B46D15"/>
    <w:rsid w:val="00B526D0"/>
    <w:rsid w:val="00B538A8"/>
    <w:rsid w:val="00B5759E"/>
    <w:rsid w:val="00B60141"/>
    <w:rsid w:val="00B618D8"/>
    <w:rsid w:val="00B63EEA"/>
    <w:rsid w:val="00B6479D"/>
    <w:rsid w:val="00B7044C"/>
    <w:rsid w:val="00B7584B"/>
    <w:rsid w:val="00B81103"/>
    <w:rsid w:val="00B83F60"/>
    <w:rsid w:val="00B85041"/>
    <w:rsid w:val="00B86A36"/>
    <w:rsid w:val="00B87009"/>
    <w:rsid w:val="00B877CD"/>
    <w:rsid w:val="00B915B7"/>
    <w:rsid w:val="00BA052F"/>
    <w:rsid w:val="00BA23A4"/>
    <w:rsid w:val="00BA377C"/>
    <w:rsid w:val="00BA5C5B"/>
    <w:rsid w:val="00BA63AF"/>
    <w:rsid w:val="00BA6A01"/>
    <w:rsid w:val="00BA73E1"/>
    <w:rsid w:val="00BB0478"/>
    <w:rsid w:val="00BB7CEB"/>
    <w:rsid w:val="00BC0E55"/>
    <w:rsid w:val="00BC10D7"/>
    <w:rsid w:val="00BC1C63"/>
    <w:rsid w:val="00BD22EA"/>
    <w:rsid w:val="00BD249D"/>
    <w:rsid w:val="00BD25EA"/>
    <w:rsid w:val="00BD266B"/>
    <w:rsid w:val="00BD3045"/>
    <w:rsid w:val="00BD717C"/>
    <w:rsid w:val="00BD72BB"/>
    <w:rsid w:val="00BE253E"/>
    <w:rsid w:val="00BE475A"/>
    <w:rsid w:val="00BE7A6D"/>
    <w:rsid w:val="00BF156A"/>
    <w:rsid w:val="00BF4A42"/>
    <w:rsid w:val="00BF6C5D"/>
    <w:rsid w:val="00BF7130"/>
    <w:rsid w:val="00C00480"/>
    <w:rsid w:val="00C032EB"/>
    <w:rsid w:val="00C05E23"/>
    <w:rsid w:val="00C10F8F"/>
    <w:rsid w:val="00C216F6"/>
    <w:rsid w:val="00C22A9D"/>
    <w:rsid w:val="00C24EB6"/>
    <w:rsid w:val="00C25EA9"/>
    <w:rsid w:val="00C26F5F"/>
    <w:rsid w:val="00C30354"/>
    <w:rsid w:val="00C30921"/>
    <w:rsid w:val="00C31214"/>
    <w:rsid w:val="00C32D65"/>
    <w:rsid w:val="00C34A20"/>
    <w:rsid w:val="00C41FE4"/>
    <w:rsid w:val="00C42411"/>
    <w:rsid w:val="00C42F8E"/>
    <w:rsid w:val="00C44AFB"/>
    <w:rsid w:val="00C452CE"/>
    <w:rsid w:val="00C45B57"/>
    <w:rsid w:val="00C509A9"/>
    <w:rsid w:val="00C55141"/>
    <w:rsid w:val="00C60BFC"/>
    <w:rsid w:val="00C617A8"/>
    <w:rsid w:val="00C61D36"/>
    <w:rsid w:val="00C64C82"/>
    <w:rsid w:val="00C652D5"/>
    <w:rsid w:val="00C6579C"/>
    <w:rsid w:val="00C6770E"/>
    <w:rsid w:val="00C708F7"/>
    <w:rsid w:val="00C70911"/>
    <w:rsid w:val="00C73F65"/>
    <w:rsid w:val="00C74EB1"/>
    <w:rsid w:val="00C80DC1"/>
    <w:rsid w:val="00C82671"/>
    <w:rsid w:val="00C82798"/>
    <w:rsid w:val="00C83000"/>
    <w:rsid w:val="00C8523F"/>
    <w:rsid w:val="00C858DA"/>
    <w:rsid w:val="00C8609D"/>
    <w:rsid w:val="00C94DC1"/>
    <w:rsid w:val="00C96329"/>
    <w:rsid w:val="00CA1B9D"/>
    <w:rsid w:val="00CA3592"/>
    <w:rsid w:val="00CA40F5"/>
    <w:rsid w:val="00CA5C3D"/>
    <w:rsid w:val="00CB3A71"/>
    <w:rsid w:val="00CB4003"/>
    <w:rsid w:val="00CB5275"/>
    <w:rsid w:val="00CB7931"/>
    <w:rsid w:val="00CC24B8"/>
    <w:rsid w:val="00CC2AE8"/>
    <w:rsid w:val="00CC404A"/>
    <w:rsid w:val="00CD1048"/>
    <w:rsid w:val="00CD26E9"/>
    <w:rsid w:val="00CD4DB8"/>
    <w:rsid w:val="00CD722F"/>
    <w:rsid w:val="00CE144F"/>
    <w:rsid w:val="00CE2A28"/>
    <w:rsid w:val="00CE496F"/>
    <w:rsid w:val="00CF33E6"/>
    <w:rsid w:val="00CF7E40"/>
    <w:rsid w:val="00D0165D"/>
    <w:rsid w:val="00D01832"/>
    <w:rsid w:val="00D0436A"/>
    <w:rsid w:val="00D059A0"/>
    <w:rsid w:val="00D11CE5"/>
    <w:rsid w:val="00D177FB"/>
    <w:rsid w:val="00D2190A"/>
    <w:rsid w:val="00D24BE1"/>
    <w:rsid w:val="00D3141F"/>
    <w:rsid w:val="00D32DA2"/>
    <w:rsid w:val="00D337C8"/>
    <w:rsid w:val="00D357DD"/>
    <w:rsid w:val="00D416D9"/>
    <w:rsid w:val="00D4271A"/>
    <w:rsid w:val="00D45CAF"/>
    <w:rsid w:val="00D50013"/>
    <w:rsid w:val="00D53962"/>
    <w:rsid w:val="00D53B15"/>
    <w:rsid w:val="00D53BF2"/>
    <w:rsid w:val="00D6157D"/>
    <w:rsid w:val="00D61F57"/>
    <w:rsid w:val="00D62BAF"/>
    <w:rsid w:val="00D6315E"/>
    <w:rsid w:val="00D642A8"/>
    <w:rsid w:val="00D725C7"/>
    <w:rsid w:val="00D76042"/>
    <w:rsid w:val="00D774D3"/>
    <w:rsid w:val="00D809A2"/>
    <w:rsid w:val="00D812D9"/>
    <w:rsid w:val="00D87349"/>
    <w:rsid w:val="00D90416"/>
    <w:rsid w:val="00D918FE"/>
    <w:rsid w:val="00D9252A"/>
    <w:rsid w:val="00D927FD"/>
    <w:rsid w:val="00D93CB4"/>
    <w:rsid w:val="00D94FB7"/>
    <w:rsid w:val="00D95D6F"/>
    <w:rsid w:val="00DA1C06"/>
    <w:rsid w:val="00DA1DB5"/>
    <w:rsid w:val="00DA1F13"/>
    <w:rsid w:val="00DA2F53"/>
    <w:rsid w:val="00DA6F19"/>
    <w:rsid w:val="00DA7B17"/>
    <w:rsid w:val="00DB2E72"/>
    <w:rsid w:val="00DB36E6"/>
    <w:rsid w:val="00DB66DC"/>
    <w:rsid w:val="00DD036A"/>
    <w:rsid w:val="00DD1154"/>
    <w:rsid w:val="00DE0268"/>
    <w:rsid w:val="00DE120E"/>
    <w:rsid w:val="00DE174D"/>
    <w:rsid w:val="00DE269B"/>
    <w:rsid w:val="00DE2810"/>
    <w:rsid w:val="00DF1087"/>
    <w:rsid w:val="00DF4EC0"/>
    <w:rsid w:val="00DF7000"/>
    <w:rsid w:val="00DF72A2"/>
    <w:rsid w:val="00E02A32"/>
    <w:rsid w:val="00E03172"/>
    <w:rsid w:val="00E14884"/>
    <w:rsid w:val="00E20399"/>
    <w:rsid w:val="00E21BA6"/>
    <w:rsid w:val="00E2264C"/>
    <w:rsid w:val="00E228A6"/>
    <w:rsid w:val="00E23D3E"/>
    <w:rsid w:val="00E24BA9"/>
    <w:rsid w:val="00E3021C"/>
    <w:rsid w:val="00E37591"/>
    <w:rsid w:val="00E40D6B"/>
    <w:rsid w:val="00E46789"/>
    <w:rsid w:val="00E511E1"/>
    <w:rsid w:val="00E52698"/>
    <w:rsid w:val="00E52816"/>
    <w:rsid w:val="00E5285F"/>
    <w:rsid w:val="00E54B40"/>
    <w:rsid w:val="00E60078"/>
    <w:rsid w:val="00E607B9"/>
    <w:rsid w:val="00E61417"/>
    <w:rsid w:val="00E63282"/>
    <w:rsid w:val="00E664BA"/>
    <w:rsid w:val="00E67845"/>
    <w:rsid w:val="00E72258"/>
    <w:rsid w:val="00E73760"/>
    <w:rsid w:val="00E75149"/>
    <w:rsid w:val="00E7748F"/>
    <w:rsid w:val="00E87504"/>
    <w:rsid w:val="00E87BE3"/>
    <w:rsid w:val="00E87D51"/>
    <w:rsid w:val="00E90DC9"/>
    <w:rsid w:val="00E93195"/>
    <w:rsid w:val="00E94DBA"/>
    <w:rsid w:val="00EA0127"/>
    <w:rsid w:val="00EA24AE"/>
    <w:rsid w:val="00EA2F06"/>
    <w:rsid w:val="00EA4564"/>
    <w:rsid w:val="00EA605C"/>
    <w:rsid w:val="00EB0B07"/>
    <w:rsid w:val="00EB21DC"/>
    <w:rsid w:val="00EB5E1A"/>
    <w:rsid w:val="00EC09AC"/>
    <w:rsid w:val="00EC1461"/>
    <w:rsid w:val="00EC27DE"/>
    <w:rsid w:val="00EC3271"/>
    <w:rsid w:val="00EC4A40"/>
    <w:rsid w:val="00EC6FED"/>
    <w:rsid w:val="00ED0C80"/>
    <w:rsid w:val="00ED1608"/>
    <w:rsid w:val="00EE0E42"/>
    <w:rsid w:val="00EE13FB"/>
    <w:rsid w:val="00EE2F63"/>
    <w:rsid w:val="00EE570F"/>
    <w:rsid w:val="00EE634B"/>
    <w:rsid w:val="00EE720C"/>
    <w:rsid w:val="00EF0248"/>
    <w:rsid w:val="00EF432B"/>
    <w:rsid w:val="00EF4C4E"/>
    <w:rsid w:val="00EF6557"/>
    <w:rsid w:val="00EF6F21"/>
    <w:rsid w:val="00F03610"/>
    <w:rsid w:val="00F055BD"/>
    <w:rsid w:val="00F07190"/>
    <w:rsid w:val="00F1049B"/>
    <w:rsid w:val="00F130C8"/>
    <w:rsid w:val="00F15182"/>
    <w:rsid w:val="00F15B16"/>
    <w:rsid w:val="00F170AF"/>
    <w:rsid w:val="00F20336"/>
    <w:rsid w:val="00F20BD6"/>
    <w:rsid w:val="00F267FC"/>
    <w:rsid w:val="00F31F6B"/>
    <w:rsid w:val="00F43357"/>
    <w:rsid w:val="00F45FC7"/>
    <w:rsid w:val="00F46035"/>
    <w:rsid w:val="00F465CA"/>
    <w:rsid w:val="00F51784"/>
    <w:rsid w:val="00F56E59"/>
    <w:rsid w:val="00F57666"/>
    <w:rsid w:val="00F652C6"/>
    <w:rsid w:val="00F726E5"/>
    <w:rsid w:val="00F806BB"/>
    <w:rsid w:val="00F92BAA"/>
    <w:rsid w:val="00FA0225"/>
    <w:rsid w:val="00FA4D3E"/>
    <w:rsid w:val="00FB005F"/>
    <w:rsid w:val="00FB1694"/>
    <w:rsid w:val="00FB250C"/>
    <w:rsid w:val="00FB3B36"/>
    <w:rsid w:val="00FC5230"/>
    <w:rsid w:val="00FC7CC1"/>
    <w:rsid w:val="00FD262C"/>
    <w:rsid w:val="00FD2F68"/>
    <w:rsid w:val="00FD30AD"/>
    <w:rsid w:val="00FD78D8"/>
    <w:rsid w:val="00FE11CB"/>
    <w:rsid w:val="00FE6510"/>
    <w:rsid w:val="00FE78DD"/>
    <w:rsid w:val="00FF37F3"/>
    <w:rsid w:val="00FF3B47"/>
    <w:rsid w:val="00FF5690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B63D9"/>
  <w15:docId w15:val="{779201F7-3143-4241-B6CF-EA21B146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2F6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F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F3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DE174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6435E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821341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BA052F"/>
    <w:rPr>
      <w:vertAlign w:val="superscript"/>
    </w:rPr>
  </w:style>
  <w:style w:type="table" w:styleId="TableGrid">
    <w:name w:val="Table Grid"/>
    <w:basedOn w:val="TableNormal"/>
    <w:uiPriority w:val="59"/>
    <w:rsid w:val="00A71D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8C6B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029F3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rsid w:val="0050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5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C8E87C02F23954E9C2D59B7AF80A018" ma:contentTypeVersion="1" ma:contentTypeDescription="Upload an image." ma:contentTypeScope="" ma:versionID="1fc1ec30afcc37162d2474c75538f3e5">
  <xsd:schema xmlns:xsd="http://www.w3.org/2001/XMLSchema" xmlns:xs="http://www.w3.org/2001/XMLSchema" xmlns:p="http://schemas.microsoft.com/office/2006/metadata/properties" xmlns:ns1="http://schemas.microsoft.com/sharepoint/v3" xmlns:ns2="4426917E-6166-468E-8483-D7A003B01B4E" xmlns:ns3="http://schemas.microsoft.com/sharepoint/v3/fields" targetNamespace="http://schemas.microsoft.com/office/2006/metadata/properties" ma:root="true" ma:fieldsID="096154a16f6cba20b57d589b262c506b" ns1:_="" ns2:_="" ns3:_="">
    <xsd:import namespace="http://schemas.microsoft.com/sharepoint/v3"/>
    <xsd:import namespace="4426917E-6166-468E-8483-D7A003B01B4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6917E-6166-468E-8483-D7A003B01B4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26917E-6166-468E-8483-D7A003B01B4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7EF5C6-CAB1-4088-8D19-679C4FBA3A6D}"/>
</file>

<file path=customXml/itemProps2.xml><?xml version="1.0" encoding="utf-8"?>
<ds:datastoreItem xmlns:ds="http://schemas.openxmlformats.org/officeDocument/2006/customXml" ds:itemID="{EB896876-1E5E-4200-B89E-E2CC46C3BD6E}"/>
</file>

<file path=customXml/itemProps3.xml><?xml version="1.0" encoding="utf-8"?>
<ds:datastoreItem xmlns:ds="http://schemas.openxmlformats.org/officeDocument/2006/customXml" ds:itemID="{63671810-3EF7-4C8E-BCBA-248ABE2BAB39}"/>
</file>

<file path=customXml/itemProps4.xml><?xml version="1.0" encoding="utf-8"?>
<ds:datastoreItem xmlns:ds="http://schemas.openxmlformats.org/officeDocument/2006/customXml" ds:itemID="{B2369200-60F8-435B-9071-288A8C203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SASS Information Sheet</dc:title>
  <dc:creator>Lauren Schenker</dc:creator>
  <cp:keywords/>
  <dc:description/>
  <cp:lastModifiedBy>Nadia Moya</cp:lastModifiedBy>
  <cp:revision>2</cp:revision>
  <cp:lastPrinted>2019-11-20T01:38:00Z</cp:lastPrinted>
  <dcterms:created xsi:type="dcterms:W3CDTF">2021-05-14T16:36:00Z</dcterms:created>
  <dcterms:modified xsi:type="dcterms:W3CDTF">2021-05-14T16:36:00Z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0x0101009148F5A04DDD49CBA7127AADA5FB792B00AADE34325A8B49CDA8BB4DB53328F21400CC8E87C02F23954E9C2D59B7AF80A018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ZOTERO_PREF_1">
    <vt:lpwstr>&lt;data data-version="3" zotero-version="5.0.73"&gt;&lt;session id="LYMZUS1E"/&gt;&lt;style id="http://www.zotero.org/styles/american-journal-of-public-health" hasBibliography="1" bibliographyStyleHasBeenSet="0"/&gt;&lt;prefs&gt;&lt;pref name="fieldType" value="Field"/&gt;&lt;pref name=</vt:lpwstr>
  </property>
  <property fmtid="{D5CDD505-2E9C-101B-9397-08002B2CF9AE}" pid="9" name="ZOTERO_PREF_2">
    <vt:lpwstr>"automaticJournalAbbreviations" value="true"/&gt;&lt;/prefs&gt;&lt;/data&gt;</vt:lpwstr>
  </property>
</Properties>
</file>